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728A7" w14:textId="77777777" w:rsidR="00760453" w:rsidRPr="00760453" w:rsidRDefault="00760453" w:rsidP="00760453">
      <w:pPr>
        <w:pStyle w:val="StandardWeb"/>
        <w:rPr>
          <w:rFonts w:asciiTheme="minorHAnsi" w:hAnsiTheme="minorHAnsi" w:cstheme="minorHAnsi"/>
          <w:b/>
          <w:bCs/>
          <w:sz w:val="22"/>
          <w:szCs w:val="22"/>
          <w:lang w:val="fr-FR"/>
        </w:rPr>
      </w:pPr>
      <w:r w:rsidRPr="00760453">
        <w:rPr>
          <w:rStyle w:val="Fett"/>
          <w:rFonts w:asciiTheme="minorHAnsi" w:hAnsiTheme="minorHAnsi" w:cstheme="minorHAnsi"/>
          <w:b w:val="0"/>
          <w:bCs w:val="0"/>
          <w:sz w:val="22"/>
          <w:szCs w:val="22"/>
          <w:lang w:val="fr-FR"/>
        </w:rPr>
        <w:t>Düsseldorf, 07 octobre 2025</w:t>
      </w:r>
    </w:p>
    <w:p w14:paraId="545F73AC" w14:textId="77777777" w:rsidR="00760453" w:rsidRPr="00760453" w:rsidRDefault="00760453" w:rsidP="00760453">
      <w:pPr>
        <w:pStyle w:val="StandardWeb"/>
        <w:jc w:val="center"/>
        <w:rPr>
          <w:rFonts w:asciiTheme="minorHAnsi" w:hAnsiTheme="minorHAnsi" w:cstheme="minorHAnsi"/>
          <w:sz w:val="28"/>
          <w:szCs w:val="28"/>
          <w:lang w:val="fr-FR"/>
        </w:rPr>
      </w:pPr>
      <w:r w:rsidRPr="00760453">
        <w:rPr>
          <w:rStyle w:val="Fett"/>
          <w:rFonts w:asciiTheme="minorHAnsi" w:hAnsiTheme="minorHAnsi" w:cstheme="minorHAnsi"/>
          <w:sz w:val="28"/>
          <w:szCs w:val="28"/>
          <w:lang w:val="fr-FR"/>
        </w:rPr>
        <w:t>Communiqué de presse</w:t>
      </w:r>
    </w:p>
    <w:p w14:paraId="3EA2FE07" w14:textId="5578519D" w:rsidR="00760453" w:rsidRDefault="00760453" w:rsidP="00760453">
      <w:pPr>
        <w:pStyle w:val="StandardWeb"/>
        <w:rPr>
          <w:rStyle w:val="Fett"/>
          <w:rFonts w:asciiTheme="minorHAnsi" w:hAnsiTheme="minorHAnsi" w:cstheme="minorHAnsi"/>
          <w:sz w:val="22"/>
          <w:szCs w:val="22"/>
          <w:lang w:val="fr-FR"/>
        </w:rPr>
      </w:pPr>
      <w:r w:rsidRPr="00760453">
        <w:rPr>
          <w:rStyle w:val="Fett"/>
          <w:rFonts w:asciiTheme="minorHAnsi" w:hAnsiTheme="minorHAnsi" w:cstheme="minorHAnsi"/>
          <w:lang w:val="fr-FR"/>
        </w:rPr>
        <w:t>Les fabricants européens de tubes enregistrent un marché plus faible au premier semestre 2025</w:t>
      </w:r>
    </w:p>
    <w:p w14:paraId="6CE561A0" w14:textId="58DA029C" w:rsidR="00760453" w:rsidRPr="00760453" w:rsidRDefault="00760453" w:rsidP="00760453">
      <w:pPr>
        <w:pStyle w:val="StandardWeb"/>
        <w:rPr>
          <w:rFonts w:asciiTheme="minorHAnsi" w:hAnsiTheme="minorHAnsi" w:cstheme="minorHAnsi"/>
          <w:sz w:val="22"/>
          <w:szCs w:val="22"/>
          <w:lang w:val="fr-FR"/>
        </w:rPr>
      </w:pPr>
      <w:r w:rsidRPr="00760453">
        <w:rPr>
          <w:rStyle w:val="Fett"/>
          <w:rFonts w:asciiTheme="minorHAnsi" w:hAnsiTheme="minorHAnsi" w:cstheme="minorHAnsi"/>
          <w:sz w:val="22"/>
          <w:szCs w:val="22"/>
          <w:lang w:val="fr-FR"/>
        </w:rPr>
        <w:t>Baisse des livraisons totales, performances contrastées selon les types de tubes</w:t>
      </w:r>
    </w:p>
    <w:p w14:paraId="36DF36A7" w14:textId="77777777" w:rsidR="00760453" w:rsidRPr="00760453" w:rsidRDefault="00760453" w:rsidP="00760453">
      <w:pPr>
        <w:pStyle w:val="StandardWeb"/>
        <w:rPr>
          <w:rFonts w:asciiTheme="minorHAnsi" w:hAnsiTheme="minorHAnsi" w:cstheme="minorHAnsi"/>
          <w:sz w:val="22"/>
          <w:szCs w:val="22"/>
          <w:lang w:val="fr-FR"/>
        </w:rPr>
      </w:pPr>
      <w:r w:rsidRPr="00760453">
        <w:rPr>
          <w:rFonts w:asciiTheme="minorHAnsi" w:hAnsiTheme="minorHAnsi" w:cstheme="minorHAnsi"/>
          <w:sz w:val="22"/>
          <w:szCs w:val="22"/>
          <w:lang w:val="fr-FR"/>
        </w:rPr>
        <w:t>Le marché du tube a enregistré une performance plus faible au premier semestre 2025. Selon l’association européenne des fabricants de tubes (etma), les livraisons mondiales de tubes en aluminium, en laminé et en plastique ont diminué de 3,9 % pour atteindre environ 5,8 milliards d’unités par rapport à la même période en 2024.</w:t>
      </w:r>
    </w:p>
    <w:p w14:paraId="2C408481" w14:textId="77777777" w:rsidR="00760453" w:rsidRPr="00760453" w:rsidRDefault="00760453" w:rsidP="00760453">
      <w:pPr>
        <w:pStyle w:val="StandardWeb"/>
        <w:rPr>
          <w:rFonts w:asciiTheme="minorHAnsi" w:hAnsiTheme="minorHAnsi" w:cstheme="minorHAnsi"/>
          <w:sz w:val="22"/>
          <w:szCs w:val="22"/>
          <w:lang w:val="fr-FR"/>
        </w:rPr>
      </w:pPr>
      <w:r w:rsidRPr="00760453">
        <w:rPr>
          <w:rFonts w:asciiTheme="minorHAnsi" w:hAnsiTheme="minorHAnsi" w:cstheme="minorHAnsi"/>
          <w:sz w:val="22"/>
          <w:szCs w:val="22"/>
          <w:lang w:val="fr-FR"/>
        </w:rPr>
        <w:t>Les différents types de tubes ont évolué de manière contrastée :</w:t>
      </w:r>
    </w:p>
    <w:p w14:paraId="4228088D" w14:textId="77777777" w:rsidR="00760453" w:rsidRPr="00760453" w:rsidRDefault="00760453" w:rsidP="00760453">
      <w:pPr>
        <w:pStyle w:val="StandardWeb"/>
        <w:numPr>
          <w:ilvl w:val="0"/>
          <w:numId w:val="11"/>
        </w:numPr>
        <w:rPr>
          <w:rFonts w:asciiTheme="minorHAnsi" w:hAnsiTheme="minorHAnsi" w:cstheme="minorHAnsi"/>
          <w:sz w:val="22"/>
          <w:szCs w:val="22"/>
          <w:lang w:val="fr-FR"/>
        </w:rPr>
      </w:pPr>
      <w:r w:rsidRPr="00760453">
        <w:rPr>
          <w:rStyle w:val="Fett"/>
          <w:rFonts w:asciiTheme="minorHAnsi" w:hAnsiTheme="minorHAnsi" w:cstheme="minorHAnsi"/>
          <w:sz w:val="22"/>
          <w:szCs w:val="22"/>
          <w:lang w:val="fr-FR"/>
        </w:rPr>
        <w:t>Tubes en aluminium :</w:t>
      </w:r>
      <w:r w:rsidRPr="00760453">
        <w:rPr>
          <w:rFonts w:asciiTheme="minorHAnsi" w:hAnsiTheme="minorHAnsi" w:cstheme="minorHAnsi"/>
          <w:sz w:val="22"/>
          <w:szCs w:val="22"/>
          <w:lang w:val="fr-FR"/>
        </w:rPr>
        <w:t xml:space="preserve"> avec près de 2 milliards d’unités livrées, le marché du tube en aluminium a reculé de 4,8 %. Alors que la demande du secteur alimentaire est restée stable et que les cosmétiques ont même connu une légère progression, la forte baisse des livraisons dans le secteur pharmaceutique — le plus grand segment d’application — a été le facteur décisif du recul global.</w:t>
      </w:r>
    </w:p>
    <w:p w14:paraId="14DCF233" w14:textId="77777777" w:rsidR="00760453" w:rsidRPr="00760453" w:rsidRDefault="00760453" w:rsidP="00760453">
      <w:pPr>
        <w:pStyle w:val="StandardWeb"/>
        <w:numPr>
          <w:ilvl w:val="0"/>
          <w:numId w:val="11"/>
        </w:numPr>
        <w:rPr>
          <w:rFonts w:asciiTheme="minorHAnsi" w:hAnsiTheme="minorHAnsi" w:cstheme="minorHAnsi"/>
          <w:sz w:val="22"/>
          <w:szCs w:val="22"/>
          <w:lang w:val="fr-FR"/>
        </w:rPr>
      </w:pPr>
      <w:r w:rsidRPr="00760453">
        <w:rPr>
          <w:rStyle w:val="Fett"/>
          <w:rFonts w:asciiTheme="minorHAnsi" w:hAnsiTheme="minorHAnsi" w:cstheme="minorHAnsi"/>
          <w:sz w:val="22"/>
          <w:szCs w:val="22"/>
          <w:lang w:val="fr-FR"/>
        </w:rPr>
        <w:t>Tubes laminés :</w:t>
      </w:r>
      <w:r w:rsidRPr="00760453">
        <w:rPr>
          <w:rFonts w:asciiTheme="minorHAnsi" w:hAnsiTheme="minorHAnsi" w:cstheme="minorHAnsi"/>
          <w:sz w:val="22"/>
          <w:szCs w:val="22"/>
          <w:lang w:val="fr-FR"/>
        </w:rPr>
        <w:t xml:space="preserve"> les livraisons ont augmenté pour atteindre près de 2,36 milliards d’unités, soit une hausse de 3,6 % par rapport à l’année précédente. La croissance a été particulièrement forte dans les marchés du dentifrice et des produits pharmaceutiques.</w:t>
      </w:r>
    </w:p>
    <w:p w14:paraId="7B44545B" w14:textId="77777777" w:rsidR="00760453" w:rsidRPr="00760453" w:rsidRDefault="00760453" w:rsidP="00760453">
      <w:pPr>
        <w:pStyle w:val="StandardWeb"/>
        <w:numPr>
          <w:ilvl w:val="0"/>
          <w:numId w:val="11"/>
        </w:numPr>
        <w:rPr>
          <w:rFonts w:asciiTheme="minorHAnsi" w:hAnsiTheme="minorHAnsi" w:cstheme="minorHAnsi"/>
          <w:sz w:val="22"/>
          <w:szCs w:val="22"/>
          <w:lang w:val="fr-FR"/>
        </w:rPr>
      </w:pPr>
      <w:r w:rsidRPr="00760453">
        <w:rPr>
          <w:rStyle w:val="Fett"/>
          <w:rFonts w:asciiTheme="minorHAnsi" w:hAnsiTheme="minorHAnsi" w:cstheme="minorHAnsi"/>
          <w:sz w:val="22"/>
          <w:szCs w:val="22"/>
          <w:lang w:val="fr-FR"/>
        </w:rPr>
        <w:t>Tubes plastiques :</w:t>
      </w:r>
      <w:r w:rsidRPr="00760453">
        <w:rPr>
          <w:rFonts w:asciiTheme="minorHAnsi" w:hAnsiTheme="minorHAnsi" w:cstheme="minorHAnsi"/>
          <w:sz w:val="22"/>
          <w:szCs w:val="22"/>
          <w:lang w:val="fr-FR"/>
        </w:rPr>
        <w:t xml:space="preserve"> avec environ 1,47 milliard d’unités, les livraisons ont chuté de 12,8 %. Ce recul est principalement dû à une baisse significative de la demande dans le secteur des cosmétiques, notamment pour les tubes de petit diamètre.</w:t>
      </w:r>
    </w:p>
    <w:p w14:paraId="0765325B" w14:textId="77777777" w:rsidR="00760453" w:rsidRPr="00760453" w:rsidRDefault="00760453" w:rsidP="00760453">
      <w:pPr>
        <w:pStyle w:val="StandardWeb"/>
        <w:rPr>
          <w:rFonts w:asciiTheme="minorHAnsi" w:hAnsiTheme="minorHAnsi" w:cstheme="minorHAnsi"/>
          <w:sz w:val="22"/>
          <w:szCs w:val="22"/>
          <w:lang w:val="fr-FR"/>
        </w:rPr>
      </w:pPr>
      <w:r w:rsidRPr="00760453">
        <w:rPr>
          <w:rStyle w:val="Fett"/>
          <w:rFonts w:asciiTheme="minorHAnsi" w:hAnsiTheme="minorHAnsi" w:cstheme="minorHAnsi"/>
          <w:sz w:val="22"/>
          <w:szCs w:val="22"/>
          <w:lang w:val="fr-FR"/>
        </w:rPr>
        <w:t>Matières premières recyclées, incertitudes commerciales et pression réglementaire : des défis persistants</w:t>
      </w:r>
    </w:p>
    <w:p w14:paraId="504973F2" w14:textId="77777777" w:rsidR="00760453" w:rsidRPr="00760453" w:rsidRDefault="00760453" w:rsidP="00760453">
      <w:pPr>
        <w:pStyle w:val="StandardWeb"/>
        <w:rPr>
          <w:rFonts w:asciiTheme="minorHAnsi" w:hAnsiTheme="minorHAnsi" w:cstheme="minorHAnsi"/>
          <w:sz w:val="22"/>
          <w:szCs w:val="22"/>
          <w:lang w:val="fr-FR"/>
        </w:rPr>
      </w:pPr>
      <w:r w:rsidRPr="00760453">
        <w:rPr>
          <w:rFonts w:asciiTheme="minorHAnsi" w:hAnsiTheme="minorHAnsi" w:cstheme="minorHAnsi"/>
          <w:sz w:val="22"/>
          <w:szCs w:val="22"/>
          <w:lang w:val="fr-FR"/>
        </w:rPr>
        <w:t>L’utilisation de matières recyclées post-consommation (PCR) reste une priorité pour l’industrie, mais la disponibilité demeure limitée, en particulier dans le secteur du plastique. Cela continue de ralentir la transition vers un contenu recyclé plus élevé dans les emballages.</w:t>
      </w:r>
    </w:p>
    <w:p w14:paraId="2CF1EF2B" w14:textId="77777777" w:rsidR="00760453" w:rsidRPr="00760453" w:rsidRDefault="00760453" w:rsidP="00760453">
      <w:pPr>
        <w:pStyle w:val="StandardWeb"/>
        <w:rPr>
          <w:rFonts w:asciiTheme="minorHAnsi" w:hAnsiTheme="minorHAnsi" w:cstheme="minorHAnsi"/>
          <w:sz w:val="22"/>
          <w:szCs w:val="22"/>
          <w:lang w:val="fr-FR"/>
        </w:rPr>
      </w:pPr>
      <w:r w:rsidRPr="00760453">
        <w:rPr>
          <w:rFonts w:asciiTheme="minorHAnsi" w:hAnsiTheme="minorHAnsi" w:cstheme="minorHAnsi"/>
          <w:sz w:val="22"/>
          <w:szCs w:val="22"/>
          <w:lang w:val="fr-FR"/>
        </w:rPr>
        <w:t>Par ailleurs, l’environnement commercial mondial devient de plus en plus volatil. Les droits de douane américains récemment annoncés de 50 % sur les tubes en aluminium, entrant en vigueur en août 2025, créent de nouvelles incertitudes pour l’industrie et accentuent la pression sur les chaînes d’approvisionnement internationales.</w:t>
      </w:r>
    </w:p>
    <w:p w14:paraId="58711FCF" w14:textId="77777777" w:rsidR="00760453" w:rsidRPr="00760453" w:rsidRDefault="00760453" w:rsidP="00760453">
      <w:pPr>
        <w:pStyle w:val="StandardWeb"/>
        <w:rPr>
          <w:rFonts w:asciiTheme="minorHAnsi" w:hAnsiTheme="minorHAnsi" w:cstheme="minorHAnsi"/>
          <w:sz w:val="22"/>
          <w:szCs w:val="22"/>
          <w:lang w:val="fr-FR"/>
        </w:rPr>
      </w:pPr>
      <w:r w:rsidRPr="00760453">
        <w:rPr>
          <w:rStyle w:val="Fett"/>
          <w:rFonts w:asciiTheme="minorHAnsi" w:hAnsiTheme="minorHAnsi" w:cstheme="minorHAnsi"/>
          <w:sz w:val="22"/>
          <w:szCs w:val="22"/>
          <w:lang w:val="fr-FR"/>
        </w:rPr>
        <w:t>Une industrie résiliente avec un optimisme prudent</w:t>
      </w:r>
    </w:p>
    <w:p w14:paraId="06DE2437" w14:textId="77777777" w:rsidR="00760453" w:rsidRPr="00760453" w:rsidRDefault="00760453" w:rsidP="00760453">
      <w:pPr>
        <w:pStyle w:val="StandardWeb"/>
        <w:rPr>
          <w:rFonts w:asciiTheme="minorHAnsi" w:hAnsiTheme="minorHAnsi" w:cstheme="minorHAnsi"/>
          <w:sz w:val="22"/>
          <w:szCs w:val="22"/>
          <w:lang w:val="fr-FR"/>
        </w:rPr>
      </w:pPr>
      <w:r w:rsidRPr="00760453">
        <w:rPr>
          <w:rFonts w:asciiTheme="minorHAnsi" w:hAnsiTheme="minorHAnsi" w:cstheme="minorHAnsi"/>
          <w:sz w:val="22"/>
          <w:szCs w:val="22"/>
          <w:lang w:val="fr-FR"/>
        </w:rPr>
        <w:t>« Le premier semestre 2025 a une fois de plus montré que notre industrie est à la fois mise à l’épreuve et résiliente. Malgré une demande plus faible dans certains marchés clés, en particulier les produits pharmaceutiques et les cosmétiques, nous continuons à observer des impulsions de croissance dans d’autres secteurs et types de tubes. La résilience de nos membres et leurs investissements continus dans l’innovation et la durabilité nous rendent prudemment optimistes pour le reste de l’année 2025 », souligne le président d’etma, Zoran Joksic.</w:t>
      </w:r>
    </w:p>
    <w:p w14:paraId="1320078F" w14:textId="77777777" w:rsidR="00760453" w:rsidRPr="00760453" w:rsidRDefault="00760453" w:rsidP="00760453">
      <w:pPr>
        <w:pStyle w:val="StandardWeb"/>
        <w:rPr>
          <w:rFonts w:asciiTheme="minorHAnsi" w:hAnsiTheme="minorHAnsi" w:cstheme="minorHAnsi"/>
          <w:sz w:val="22"/>
          <w:szCs w:val="22"/>
          <w:lang w:val="fr-FR"/>
        </w:rPr>
      </w:pPr>
      <w:r w:rsidRPr="00760453">
        <w:rPr>
          <w:rStyle w:val="Fett"/>
          <w:rFonts w:asciiTheme="minorHAnsi" w:hAnsiTheme="minorHAnsi" w:cstheme="minorHAnsi"/>
          <w:sz w:val="22"/>
          <w:szCs w:val="22"/>
          <w:lang w:val="fr-FR"/>
        </w:rPr>
        <w:t>Contact :</w:t>
      </w:r>
      <w:r w:rsidRPr="00760453">
        <w:rPr>
          <w:rFonts w:asciiTheme="minorHAnsi" w:hAnsiTheme="minorHAnsi" w:cstheme="minorHAnsi"/>
          <w:sz w:val="22"/>
          <w:szCs w:val="22"/>
          <w:lang w:val="fr-FR"/>
        </w:rPr>
        <w:br/>
        <w:t>Seifeldin Raslan Mohamed</w:t>
      </w:r>
      <w:r w:rsidRPr="00760453">
        <w:rPr>
          <w:rFonts w:asciiTheme="minorHAnsi" w:hAnsiTheme="minorHAnsi" w:cstheme="minorHAnsi"/>
          <w:sz w:val="22"/>
          <w:szCs w:val="22"/>
          <w:lang w:val="fr-FR"/>
        </w:rPr>
        <w:br/>
        <w:t>Secrétaire général d’etma</w:t>
      </w:r>
    </w:p>
    <w:p w14:paraId="6061B078" w14:textId="77777777" w:rsidR="00214FC0" w:rsidRPr="00760453" w:rsidRDefault="00214FC0" w:rsidP="00760453">
      <w:pPr>
        <w:rPr>
          <w:rStyle w:val="etmabriefe"/>
          <w:rFonts w:asciiTheme="minorHAnsi" w:hAnsiTheme="minorHAnsi" w:cstheme="minorHAnsi"/>
          <w:color w:val="auto"/>
          <w:szCs w:val="18"/>
          <w:lang w:val="fr-FR"/>
        </w:rPr>
      </w:pPr>
    </w:p>
    <w:sectPr w:rsidR="00214FC0" w:rsidRPr="00760453" w:rsidSect="001916F8">
      <w:footerReference w:type="default" r:id="rId7"/>
      <w:headerReference w:type="first" r:id="rId8"/>
      <w:footerReference w:type="first" r:id="rId9"/>
      <w:pgSz w:w="11907" w:h="16840" w:code="9"/>
      <w:pgMar w:top="2127" w:right="618" w:bottom="709" w:left="709" w:header="0" w:footer="7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D17DA" w14:textId="77777777" w:rsidR="00F11496" w:rsidRDefault="00F11496" w:rsidP="000C2018">
      <w:r>
        <w:separator/>
      </w:r>
    </w:p>
  </w:endnote>
  <w:endnote w:type="continuationSeparator" w:id="0">
    <w:p w14:paraId="27E687C8" w14:textId="77777777" w:rsidR="00F11496" w:rsidRDefault="00F11496"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363872741"/>
      <w:docPartObj>
        <w:docPartGallery w:val="Page Numbers (Bottom of Page)"/>
        <w:docPartUnique/>
      </w:docPartObj>
    </w:sdtPr>
    <w:sdtContent>
      <w:sdt>
        <w:sdtPr>
          <w:rPr>
            <w:rFonts w:ascii="Arial" w:hAnsi="Arial" w:cs="Arial"/>
            <w:color w:val="007DBA"/>
            <w:sz w:val="16"/>
            <w:szCs w:val="16"/>
          </w:rPr>
          <w:id w:val="-1994328871"/>
          <w:docPartObj>
            <w:docPartGallery w:val="Page Numbers (Top of Page)"/>
            <w:docPartUnique/>
          </w:docPartObj>
        </w:sdt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p>
        </w:sdtContent>
      </w:sdt>
    </w:sdtContent>
  </w:sdt>
  <w:p w14:paraId="5BDD7510" w14:textId="77777777" w:rsidR="005735CA" w:rsidRDefault="005735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702160357"/>
      <w:docPartObj>
        <w:docPartGallery w:val="Page Numbers (Bottom of Page)"/>
        <w:docPartUnique/>
      </w:docPartObj>
    </w:sdtPr>
    <w:sdtContent>
      <w:sdt>
        <w:sdtPr>
          <w:rPr>
            <w:rFonts w:ascii="Arial" w:hAnsi="Arial" w:cs="Arial"/>
            <w:color w:val="007DBA"/>
            <w:sz w:val="16"/>
            <w:szCs w:val="16"/>
          </w:rPr>
          <w:id w:val="452603900"/>
          <w:docPartObj>
            <w:docPartGallery w:val="Page Numbers (Top of Page)"/>
            <w:docPartUnique/>
          </w:docPartObj>
        </w:sdt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DE"/>
              </w:rPr>
              <mc:AlternateContent>
                <mc:Choice Requires="wps">
                  <w:drawing>
                    <wp:anchor distT="0" distB="0" distL="114300" distR="114300" simplePos="0" relativeHeight="251660288" behindDoc="1" locked="1" layoutInCell="1" allowOverlap="0" wp14:anchorId="664F6C8B" wp14:editId="10040E01">
                      <wp:simplePos x="0" y="0"/>
                      <wp:positionH relativeFrom="page">
                        <wp:posOffset>476250</wp:posOffset>
                      </wp:positionH>
                      <wp:positionV relativeFrom="page">
                        <wp:posOffset>9761855</wp:posOffset>
                      </wp:positionV>
                      <wp:extent cx="6754495" cy="7124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37957FD7"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r>
                                    <w:rPr>
                                      <w:rFonts w:ascii="Arial" w:hAnsi="Arial" w:cs="Arial"/>
                                      <w:color w:val="007DBA"/>
                                      <w:sz w:val="17"/>
                                      <w:lang w:val="de-DE"/>
                                    </w:rPr>
                                    <w:t>V</w:t>
                                  </w:r>
                                  <w:r w:rsidR="005735CA">
                                    <w:rPr>
                                      <w:rFonts w:ascii="Arial" w:hAnsi="Arial" w:cs="Arial"/>
                                      <w:color w:val="007DBA"/>
                                      <w:sz w:val="17"/>
                                      <w:lang w:val="de-DE"/>
                                    </w:rPr>
                                    <w:t>omfelde-</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t>phone</w:t>
                                  </w:r>
                                  <w:r>
                                    <w:rPr>
                                      <w:rStyle w:val="etmabriefe"/>
                                      <w:sz w:val="17"/>
                                      <w:lang w:val="de-DE"/>
                                    </w:rPr>
                                    <w:t xml:space="preserve"> </w:t>
                                  </w:r>
                                  <w:r w:rsidR="005735CA">
                                    <w:rPr>
                                      <w:rStyle w:val="etmabriefe"/>
                                      <w:sz w:val="17"/>
                                      <w:lang w:val="de-DE"/>
                                    </w:rPr>
                                    <w:t>+49 211 4796-</w:t>
                                  </w:r>
                                  <w:r w:rsidR="00491714">
                                    <w:rPr>
                                      <w:rStyle w:val="etmabriefe"/>
                                      <w:sz w:val="17"/>
                                      <w:lang w:val="de-DE"/>
                                    </w:rPr>
                                    <w:t>280</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t>email</w:t>
                                  </w:r>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6" type="#_x0000_t202" style="position:absolute;left:0;text-align:left;margin-left:37.5pt;margin-top:768.65pt;width:531.85pt;height:5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" o:allowoverlap="f" filled="f" stroked="f">
                      <o:lock v:ext="edit" aspectratio="t"/>
                      <v:textbo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37957FD7"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r>
                              <w:rPr>
                                <w:rFonts w:ascii="Arial" w:hAnsi="Arial" w:cs="Arial"/>
                                <w:color w:val="007DBA"/>
                                <w:sz w:val="17"/>
                                <w:lang w:val="de-DE"/>
                              </w:rPr>
                              <w:t>V</w:t>
                            </w:r>
                            <w:r w:rsidR="005735CA">
                              <w:rPr>
                                <w:rFonts w:ascii="Arial" w:hAnsi="Arial" w:cs="Arial"/>
                                <w:color w:val="007DBA"/>
                                <w:sz w:val="17"/>
                                <w:lang w:val="de-DE"/>
                              </w:rPr>
                              <w:t>omfelde-</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t>phone</w:t>
                            </w:r>
                            <w:r>
                              <w:rPr>
                                <w:rStyle w:val="etmabriefe"/>
                                <w:sz w:val="17"/>
                                <w:lang w:val="de-DE"/>
                              </w:rPr>
                              <w:t xml:space="preserve"> </w:t>
                            </w:r>
                            <w:r w:rsidR="005735CA">
                              <w:rPr>
                                <w:rStyle w:val="etmabriefe"/>
                                <w:sz w:val="17"/>
                                <w:lang w:val="de-DE"/>
                              </w:rPr>
                              <w:t>+49 211 4796-</w:t>
                            </w:r>
                            <w:r w:rsidR="00491714">
                              <w:rPr>
                                <w:rStyle w:val="etmabriefe"/>
                                <w:sz w:val="17"/>
                                <w:lang w:val="de-DE"/>
                              </w:rPr>
                              <w:t>280</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t>email</w:t>
                            </w:r>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14</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BA780" w14:textId="77777777" w:rsidR="00F11496" w:rsidRDefault="00F11496" w:rsidP="000C2018">
      <w:r>
        <w:separator/>
      </w:r>
    </w:p>
  </w:footnote>
  <w:footnote w:type="continuationSeparator" w:id="0">
    <w:p w14:paraId="159A94C2" w14:textId="77777777" w:rsidR="00F11496" w:rsidRDefault="00F11496"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05F53" w14:textId="77777777" w:rsidR="005735CA" w:rsidRDefault="005735CA">
    <w:pPr>
      <w:pStyle w:val="Kopfzeile"/>
    </w:pPr>
    <w:r>
      <w:rPr>
        <w:noProof/>
        <w:lang w:val="de-DE"/>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2201973"/>
    <w:multiLevelType w:val="multilevel"/>
    <w:tmpl w:val="FBA6B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392D300E"/>
    <w:multiLevelType w:val="multilevel"/>
    <w:tmpl w:val="8D9E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6"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8"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9" w15:restartNumberingAfterBreak="0">
    <w:nsid w:val="785D5378"/>
    <w:multiLevelType w:val="multilevel"/>
    <w:tmpl w:val="B10C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513347244">
    <w:abstractNumId w:val="8"/>
  </w:num>
  <w:num w:numId="2" w16cid:durableId="96796893">
    <w:abstractNumId w:val="2"/>
  </w:num>
  <w:num w:numId="3" w16cid:durableId="1005673926">
    <w:abstractNumId w:val="5"/>
  </w:num>
  <w:num w:numId="4" w16cid:durableId="141777541">
    <w:abstractNumId w:val="6"/>
  </w:num>
  <w:num w:numId="5" w16cid:durableId="2081445673">
    <w:abstractNumId w:val="10"/>
  </w:num>
  <w:num w:numId="6" w16cid:durableId="953026772">
    <w:abstractNumId w:val="3"/>
  </w:num>
  <w:num w:numId="7" w16cid:durableId="1521428097">
    <w:abstractNumId w:val="0"/>
  </w:num>
  <w:num w:numId="8" w16cid:durableId="906919705">
    <w:abstractNumId w:val="7"/>
  </w:num>
  <w:num w:numId="9" w16cid:durableId="661474254">
    <w:abstractNumId w:val="1"/>
  </w:num>
  <w:num w:numId="10" w16cid:durableId="2014069255">
    <w:abstractNumId w:val="9"/>
  </w:num>
  <w:num w:numId="11" w16cid:durableId="16943777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0183A"/>
    <w:rsid w:val="00003A96"/>
    <w:rsid w:val="0001026C"/>
    <w:rsid w:val="00011609"/>
    <w:rsid w:val="00020350"/>
    <w:rsid w:val="0005736F"/>
    <w:rsid w:val="00065E13"/>
    <w:rsid w:val="0007331C"/>
    <w:rsid w:val="00075F9A"/>
    <w:rsid w:val="00090442"/>
    <w:rsid w:val="000C2018"/>
    <w:rsid w:val="000C5B78"/>
    <w:rsid w:val="00106608"/>
    <w:rsid w:val="0013295C"/>
    <w:rsid w:val="00146D12"/>
    <w:rsid w:val="00177B13"/>
    <w:rsid w:val="001845FD"/>
    <w:rsid w:val="001916F8"/>
    <w:rsid w:val="0020295B"/>
    <w:rsid w:val="00214FC0"/>
    <w:rsid w:val="00257D96"/>
    <w:rsid w:val="00283146"/>
    <w:rsid w:val="00284116"/>
    <w:rsid w:val="00292A79"/>
    <w:rsid w:val="002C148B"/>
    <w:rsid w:val="002E0506"/>
    <w:rsid w:val="002F0AE9"/>
    <w:rsid w:val="00312937"/>
    <w:rsid w:val="00323405"/>
    <w:rsid w:val="00350E25"/>
    <w:rsid w:val="00361152"/>
    <w:rsid w:val="0039550E"/>
    <w:rsid w:val="003B5254"/>
    <w:rsid w:val="0040241B"/>
    <w:rsid w:val="0041369D"/>
    <w:rsid w:val="004241C1"/>
    <w:rsid w:val="00457D99"/>
    <w:rsid w:val="00475B51"/>
    <w:rsid w:val="00483DE2"/>
    <w:rsid w:val="00491714"/>
    <w:rsid w:val="004B6E29"/>
    <w:rsid w:val="004B7F04"/>
    <w:rsid w:val="004F7A8D"/>
    <w:rsid w:val="00505680"/>
    <w:rsid w:val="00570503"/>
    <w:rsid w:val="005735CA"/>
    <w:rsid w:val="00580F32"/>
    <w:rsid w:val="005B0C76"/>
    <w:rsid w:val="005C2BD8"/>
    <w:rsid w:val="005E0F9B"/>
    <w:rsid w:val="005F6036"/>
    <w:rsid w:val="0060131C"/>
    <w:rsid w:val="00617A4F"/>
    <w:rsid w:val="00644BF3"/>
    <w:rsid w:val="00655A61"/>
    <w:rsid w:val="00670733"/>
    <w:rsid w:val="00676A98"/>
    <w:rsid w:val="006C59E1"/>
    <w:rsid w:val="006C7C87"/>
    <w:rsid w:val="00733C79"/>
    <w:rsid w:val="00741B75"/>
    <w:rsid w:val="0074465D"/>
    <w:rsid w:val="00760453"/>
    <w:rsid w:val="00775976"/>
    <w:rsid w:val="0077761A"/>
    <w:rsid w:val="0078662F"/>
    <w:rsid w:val="007B0668"/>
    <w:rsid w:val="007B0A28"/>
    <w:rsid w:val="00804A03"/>
    <w:rsid w:val="00820DA1"/>
    <w:rsid w:val="008555C0"/>
    <w:rsid w:val="008841BF"/>
    <w:rsid w:val="008E7628"/>
    <w:rsid w:val="009056DF"/>
    <w:rsid w:val="0093485D"/>
    <w:rsid w:val="00941C6A"/>
    <w:rsid w:val="00980A88"/>
    <w:rsid w:val="009C44F0"/>
    <w:rsid w:val="00A2244F"/>
    <w:rsid w:val="00A23DF2"/>
    <w:rsid w:val="00A550C1"/>
    <w:rsid w:val="00A626D4"/>
    <w:rsid w:val="00A82841"/>
    <w:rsid w:val="00A91BCE"/>
    <w:rsid w:val="00A94454"/>
    <w:rsid w:val="00AA1B45"/>
    <w:rsid w:val="00AA5487"/>
    <w:rsid w:val="00AD1106"/>
    <w:rsid w:val="00AE22BC"/>
    <w:rsid w:val="00AE6134"/>
    <w:rsid w:val="00AF7331"/>
    <w:rsid w:val="00B00361"/>
    <w:rsid w:val="00B04017"/>
    <w:rsid w:val="00B86871"/>
    <w:rsid w:val="00BA6850"/>
    <w:rsid w:val="00BB6DE8"/>
    <w:rsid w:val="00BE22CF"/>
    <w:rsid w:val="00C12C0F"/>
    <w:rsid w:val="00C30DA5"/>
    <w:rsid w:val="00C37B12"/>
    <w:rsid w:val="00C529D4"/>
    <w:rsid w:val="00C54C43"/>
    <w:rsid w:val="00C85A44"/>
    <w:rsid w:val="00C96975"/>
    <w:rsid w:val="00CB6F3E"/>
    <w:rsid w:val="00CC35B0"/>
    <w:rsid w:val="00CD373A"/>
    <w:rsid w:val="00CD7B11"/>
    <w:rsid w:val="00CE0E79"/>
    <w:rsid w:val="00D00872"/>
    <w:rsid w:val="00D648CB"/>
    <w:rsid w:val="00D77857"/>
    <w:rsid w:val="00DB123F"/>
    <w:rsid w:val="00DC2045"/>
    <w:rsid w:val="00DD5D9B"/>
    <w:rsid w:val="00DD6CC8"/>
    <w:rsid w:val="00DE6216"/>
    <w:rsid w:val="00DE76BF"/>
    <w:rsid w:val="00DF1796"/>
    <w:rsid w:val="00DF45A0"/>
    <w:rsid w:val="00E30714"/>
    <w:rsid w:val="00E31664"/>
    <w:rsid w:val="00E77155"/>
    <w:rsid w:val="00E852B4"/>
    <w:rsid w:val="00E92367"/>
    <w:rsid w:val="00E9625A"/>
    <w:rsid w:val="00EB110F"/>
    <w:rsid w:val="00EB1513"/>
    <w:rsid w:val="00EB1BFE"/>
    <w:rsid w:val="00ED6D15"/>
    <w:rsid w:val="00EF2ECF"/>
    <w:rsid w:val="00F0216C"/>
    <w:rsid w:val="00F11496"/>
    <w:rsid w:val="00F11787"/>
    <w:rsid w:val="00F1303E"/>
    <w:rsid w:val="00F423EB"/>
    <w:rsid w:val="00F53ABE"/>
    <w:rsid w:val="00F766C7"/>
    <w:rsid w:val="00FE0A6C"/>
    <w:rsid w:val="00FE2096"/>
    <w:rsid w:val="00FE5B2C"/>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C3DA9"/>
  <w15:chartTrackingRefBased/>
  <w15:docId w15:val="{EBC4788F-70FC-45BB-8B35-7E928F96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 w:type="paragraph" w:styleId="StandardWeb">
    <w:name w:val="Normal (Web)"/>
    <w:basedOn w:val="Standard"/>
    <w:uiPriority w:val="99"/>
    <w:unhideWhenUsed/>
    <w:rsid w:val="00CC35B0"/>
    <w:pPr>
      <w:spacing w:before="100" w:beforeAutospacing="1" w:after="100" w:afterAutospacing="1"/>
    </w:pPr>
    <w:rPr>
      <w:rFonts w:ascii="Times New Roman" w:eastAsia="Times New Roman" w:hAnsi="Times New Roman"/>
      <w:szCs w:val="24"/>
      <w:lang w:val="en-US" w:eastAsia="en-US"/>
    </w:rPr>
  </w:style>
  <w:style w:type="character" w:styleId="Fett">
    <w:name w:val="Strong"/>
    <w:basedOn w:val="Absatz-Standardschriftart"/>
    <w:uiPriority w:val="22"/>
    <w:qFormat/>
    <w:rsid w:val="00CC35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41700">
      <w:bodyDiv w:val="1"/>
      <w:marLeft w:val="0"/>
      <w:marRight w:val="0"/>
      <w:marTop w:val="0"/>
      <w:marBottom w:val="0"/>
      <w:divBdr>
        <w:top w:val="none" w:sz="0" w:space="0" w:color="auto"/>
        <w:left w:val="none" w:sz="0" w:space="0" w:color="auto"/>
        <w:bottom w:val="none" w:sz="0" w:space="0" w:color="auto"/>
        <w:right w:val="none" w:sz="0" w:space="0" w:color="auto"/>
      </w:divBdr>
    </w:div>
    <w:div w:id="140503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2446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Spengler</dc:creator>
  <cp:keywords/>
  <dc:description/>
  <cp:lastModifiedBy>Seifeldin Raslan Mohamed</cp:lastModifiedBy>
  <cp:revision>40</cp:revision>
  <dcterms:created xsi:type="dcterms:W3CDTF">2024-09-04T08:26:00Z</dcterms:created>
  <dcterms:modified xsi:type="dcterms:W3CDTF">2025-10-07T08:21:00Z</dcterms:modified>
</cp:coreProperties>
</file>